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Pr="00627C56" w:rsidRDefault="0045700F" w:rsidP="00B02B53">
      <w:pPr>
        <w:jc w:val="center"/>
        <w:rPr>
          <w:b/>
          <w:sz w:val="28"/>
          <w:szCs w:val="28"/>
        </w:rPr>
      </w:pPr>
      <w:r w:rsidRPr="00627C56">
        <w:rPr>
          <w:b/>
          <w:sz w:val="28"/>
          <w:szCs w:val="28"/>
        </w:rPr>
        <w:t>Zur erneuten Wahl von Lukaschenko als Präsidenten von Belarus</w:t>
      </w:r>
    </w:p>
    <w:p w:rsidR="0045700F" w:rsidRPr="00627C56" w:rsidRDefault="00655E2F" w:rsidP="00B02B53">
      <w:pPr>
        <w:jc w:val="center"/>
        <w:rPr>
          <w:b/>
          <w:sz w:val="28"/>
          <w:szCs w:val="28"/>
        </w:rPr>
      </w:pPr>
      <w:r w:rsidRPr="00627C56">
        <w:rPr>
          <w:b/>
          <w:sz w:val="28"/>
          <w:szCs w:val="28"/>
        </w:rPr>
        <w:t>am 9.8.2020</w:t>
      </w:r>
    </w:p>
    <w:p w:rsidR="006F1A52" w:rsidRPr="00627C56" w:rsidRDefault="006F1A52" w:rsidP="006F1A52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48"/>
        </w:rPr>
      </w:pPr>
      <w:r w:rsidRPr="00627C56">
        <w:rPr>
          <w:b/>
          <w:bCs/>
          <w:kern w:val="36"/>
          <w:sz w:val="24"/>
          <w:szCs w:val="48"/>
        </w:rPr>
        <w:t xml:space="preserve">Wahlleitung von Belarus: 80,2 Prozent für Lukaschenko - 9,9 für </w:t>
      </w:r>
      <w:proofErr w:type="spellStart"/>
      <w:r w:rsidRPr="00627C56">
        <w:rPr>
          <w:b/>
          <w:bCs/>
          <w:kern w:val="36"/>
          <w:sz w:val="24"/>
          <w:szCs w:val="48"/>
        </w:rPr>
        <w:t>Tichanowskaja</w:t>
      </w:r>
      <w:proofErr w:type="spellEnd"/>
      <w:r w:rsidRPr="00627C56">
        <w:rPr>
          <w:b/>
          <w:bCs/>
          <w:kern w:val="36"/>
          <w:sz w:val="24"/>
          <w:szCs w:val="48"/>
        </w:rPr>
        <w:t xml:space="preserve"> </w:t>
      </w:r>
    </w:p>
    <w:p w:rsidR="006F1A52" w:rsidRDefault="00627C56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              </w:t>
      </w:r>
      <w:r>
        <w:rPr>
          <w:sz w:val="24"/>
          <w:szCs w:val="28"/>
        </w:rPr>
        <w:t xml:space="preserve">    </w:t>
      </w:r>
      <w:r w:rsidRPr="00627C56">
        <w:rPr>
          <w:sz w:val="24"/>
          <w:szCs w:val="28"/>
        </w:rPr>
        <w:t>von Brigitte Queck,</w:t>
      </w:r>
      <w:r>
        <w:rPr>
          <w:sz w:val="24"/>
          <w:szCs w:val="28"/>
        </w:rPr>
        <w:t xml:space="preserve"> Diploms</w:t>
      </w:r>
      <w:r w:rsidRPr="00627C56">
        <w:rPr>
          <w:sz w:val="24"/>
          <w:szCs w:val="28"/>
        </w:rPr>
        <w:t>taatswiss</w:t>
      </w:r>
      <w:r>
        <w:rPr>
          <w:sz w:val="24"/>
          <w:szCs w:val="28"/>
        </w:rPr>
        <w:t>enschaftlerin</w:t>
      </w:r>
      <w:r w:rsidRPr="00627C56">
        <w:rPr>
          <w:sz w:val="24"/>
          <w:szCs w:val="28"/>
        </w:rPr>
        <w:t xml:space="preserve"> Außenpolitik</w:t>
      </w:r>
    </w:p>
    <w:p w:rsidR="00627C56" w:rsidRPr="00627C56" w:rsidRDefault="00627C56" w:rsidP="0045700F">
      <w:pPr>
        <w:rPr>
          <w:sz w:val="24"/>
          <w:szCs w:val="28"/>
        </w:rPr>
      </w:pPr>
    </w:p>
    <w:p w:rsidR="006F1A52" w:rsidRPr="00627C56" w:rsidRDefault="00655E2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Am 9.8.2020 fanden in der ehemaligen Sowjetrepublik – Belarus--Präsidentschaftswahlen statt.</w:t>
      </w:r>
    </w:p>
    <w:p w:rsidR="00627C56" w:rsidRDefault="00627C56" w:rsidP="0045700F">
      <w:pPr>
        <w:rPr>
          <w:sz w:val="24"/>
          <w:szCs w:val="28"/>
        </w:rPr>
      </w:pPr>
    </w:p>
    <w:p w:rsidR="00475B1A" w:rsidRDefault="00475B1A" w:rsidP="0045700F">
      <w:pPr>
        <w:rPr>
          <w:sz w:val="24"/>
          <w:szCs w:val="28"/>
        </w:rPr>
      </w:pPr>
      <w:r>
        <w:rPr>
          <w:sz w:val="24"/>
          <w:szCs w:val="28"/>
        </w:rPr>
        <w:t>D</w:t>
      </w:r>
      <w:r w:rsidR="00655E2F" w:rsidRPr="00627C56">
        <w:rPr>
          <w:sz w:val="24"/>
          <w:szCs w:val="28"/>
        </w:rPr>
        <w:t>iese</w:t>
      </w:r>
      <w:r>
        <w:rPr>
          <w:sz w:val="24"/>
          <w:szCs w:val="28"/>
        </w:rPr>
        <w:t xml:space="preserve"> Wahl hatten die</w:t>
      </w:r>
      <w:r w:rsidR="00655E2F" w:rsidRPr="00627C56">
        <w:rPr>
          <w:sz w:val="24"/>
          <w:szCs w:val="28"/>
        </w:rPr>
        <w:t xml:space="preserve"> Medien der NATO-Länder </w:t>
      </w:r>
      <w:r>
        <w:rPr>
          <w:sz w:val="24"/>
          <w:szCs w:val="28"/>
        </w:rPr>
        <w:t>allesamt hämisch begleitet und räumten</w:t>
      </w:r>
      <w:r w:rsidR="00655E2F" w:rsidRPr="00627C56">
        <w:rPr>
          <w:sz w:val="24"/>
          <w:szCs w:val="28"/>
        </w:rPr>
        <w:t xml:space="preserve"> den Vertretern der Opposition—vor allem Frau </w:t>
      </w:r>
      <w:proofErr w:type="spellStart"/>
      <w:r w:rsidR="00655E2F" w:rsidRPr="00627C56">
        <w:rPr>
          <w:sz w:val="24"/>
          <w:szCs w:val="28"/>
        </w:rPr>
        <w:t>Tichanowskaja</w:t>
      </w:r>
      <w:proofErr w:type="spellEnd"/>
      <w:r w:rsidR="00655E2F" w:rsidRPr="00627C56">
        <w:rPr>
          <w:sz w:val="24"/>
          <w:szCs w:val="28"/>
        </w:rPr>
        <w:t>—ein</w:t>
      </w:r>
      <w:r>
        <w:rPr>
          <w:sz w:val="24"/>
          <w:szCs w:val="28"/>
        </w:rPr>
        <w:t>en überproportional großen</w:t>
      </w:r>
      <w:r w:rsidR="00655E2F" w:rsidRPr="00627C56">
        <w:rPr>
          <w:sz w:val="24"/>
          <w:szCs w:val="28"/>
        </w:rPr>
        <w:t xml:space="preserve"> Rau</w:t>
      </w:r>
      <w:r w:rsidR="00D40C24">
        <w:rPr>
          <w:sz w:val="24"/>
          <w:szCs w:val="28"/>
        </w:rPr>
        <w:t>m in ihrer</w:t>
      </w:r>
      <w:r>
        <w:rPr>
          <w:sz w:val="24"/>
          <w:szCs w:val="28"/>
        </w:rPr>
        <w:t xml:space="preserve"> Berichterstattung ein.</w:t>
      </w:r>
      <w:bookmarkStart w:id="0" w:name="_GoBack"/>
      <w:bookmarkEnd w:id="0"/>
    </w:p>
    <w:p w:rsidR="009401CF" w:rsidRDefault="009401CF" w:rsidP="0045700F">
      <w:pPr>
        <w:rPr>
          <w:sz w:val="24"/>
          <w:szCs w:val="28"/>
        </w:rPr>
      </w:pPr>
    </w:p>
    <w:p w:rsidR="00655E2F" w:rsidRPr="00627C56" w:rsidRDefault="00475B1A" w:rsidP="0045700F">
      <w:pPr>
        <w:rPr>
          <w:sz w:val="24"/>
          <w:szCs w:val="28"/>
        </w:rPr>
      </w:pPr>
      <w:r>
        <w:rPr>
          <w:sz w:val="24"/>
          <w:szCs w:val="28"/>
        </w:rPr>
        <w:t>Bei diesen Wahlen waren in Belarus</w:t>
      </w:r>
      <w:r w:rsidR="00655E2F" w:rsidRPr="00627C56">
        <w:rPr>
          <w:sz w:val="24"/>
          <w:szCs w:val="28"/>
        </w:rPr>
        <w:t xml:space="preserve"> keine Wahlbeobachter aus anderen Ländern zugelassen.</w:t>
      </w:r>
    </w:p>
    <w:p w:rsidR="00627C56" w:rsidRDefault="00627C56" w:rsidP="0045700F">
      <w:pPr>
        <w:rPr>
          <w:sz w:val="24"/>
          <w:szCs w:val="28"/>
        </w:rPr>
      </w:pPr>
    </w:p>
    <w:p w:rsidR="00655E2F" w:rsidRPr="00627C56" w:rsidRDefault="00655E2F" w:rsidP="0045700F">
      <w:pPr>
        <w:rPr>
          <w:sz w:val="24"/>
          <w:szCs w:val="28"/>
        </w:rPr>
      </w:pPr>
      <w:proofErr w:type="gramStart"/>
      <w:r w:rsidRPr="00627C56">
        <w:rPr>
          <w:sz w:val="24"/>
          <w:szCs w:val="28"/>
        </w:rPr>
        <w:t>Zurecht !</w:t>
      </w:r>
      <w:proofErr w:type="gramEnd"/>
    </w:p>
    <w:p w:rsidR="00655E2F" w:rsidRPr="00627C56" w:rsidRDefault="00655E2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Wie war das doch gleich bei den Präsidentschaftswahlen im Jahre 2000 nach dem NATO-Bombardement auf den souveränen Staat Jugoslawien?</w:t>
      </w:r>
    </w:p>
    <w:p w:rsidR="00655E2F" w:rsidRPr="00627C56" w:rsidRDefault="00655E2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Der damalige </w:t>
      </w:r>
      <w:r w:rsidR="008D6296" w:rsidRPr="00627C56">
        <w:rPr>
          <w:sz w:val="24"/>
          <w:szCs w:val="28"/>
        </w:rPr>
        <w:t xml:space="preserve">jugoslawische </w:t>
      </w:r>
      <w:r w:rsidRPr="00627C56">
        <w:rPr>
          <w:sz w:val="24"/>
          <w:szCs w:val="28"/>
        </w:rPr>
        <w:t xml:space="preserve">Präsident Milosevic genoss—wie seinerzeit </w:t>
      </w:r>
      <w:r w:rsidR="008D6296" w:rsidRPr="00627C56">
        <w:rPr>
          <w:sz w:val="24"/>
          <w:szCs w:val="28"/>
        </w:rPr>
        <w:t xml:space="preserve">der Präsident von Belarus, </w:t>
      </w:r>
      <w:r w:rsidRPr="00627C56">
        <w:rPr>
          <w:sz w:val="24"/>
          <w:szCs w:val="28"/>
        </w:rPr>
        <w:t>Lukaschenko—das überaus große Vertrauen der Bevölkerung.</w:t>
      </w:r>
    </w:p>
    <w:p w:rsidR="0003533A" w:rsidRDefault="0003533A" w:rsidP="0045700F">
      <w:pPr>
        <w:rPr>
          <w:sz w:val="24"/>
          <w:szCs w:val="28"/>
        </w:rPr>
      </w:pPr>
    </w:p>
    <w:p w:rsidR="009401CF" w:rsidRDefault="008D6296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Aber die US/NATO hatte</w:t>
      </w:r>
      <w:r w:rsidR="005905A8">
        <w:rPr>
          <w:sz w:val="24"/>
          <w:szCs w:val="28"/>
        </w:rPr>
        <w:t>n</w:t>
      </w:r>
      <w:r w:rsidRPr="00627C56">
        <w:rPr>
          <w:sz w:val="24"/>
          <w:szCs w:val="28"/>
        </w:rPr>
        <w:t xml:space="preserve"> mit List und Tücke schon im VORHINEIN viele westliche Politiker und Journalisten vor Ort postiert, die genau wie später in L</w:t>
      </w:r>
      <w:r w:rsidR="00627C56">
        <w:rPr>
          <w:sz w:val="24"/>
          <w:szCs w:val="28"/>
        </w:rPr>
        <w:t>iby</w:t>
      </w:r>
      <w:r w:rsidRPr="00627C56">
        <w:rPr>
          <w:sz w:val="24"/>
          <w:szCs w:val="28"/>
        </w:rPr>
        <w:t xml:space="preserve">en, der Ukraine und anderen Ländern, </w:t>
      </w:r>
      <w:r w:rsidR="0003533A">
        <w:rPr>
          <w:sz w:val="24"/>
          <w:szCs w:val="28"/>
        </w:rPr>
        <w:t xml:space="preserve">einige </w:t>
      </w:r>
      <w:r w:rsidRPr="00627C56">
        <w:rPr>
          <w:sz w:val="24"/>
          <w:szCs w:val="28"/>
        </w:rPr>
        <w:t>Menschen mit unverhältnismäßig hohen Geldern bestochen hatten</w:t>
      </w:r>
      <w:r w:rsidR="007960DB">
        <w:rPr>
          <w:sz w:val="24"/>
          <w:szCs w:val="28"/>
        </w:rPr>
        <w:t xml:space="preserve">, die </w:t>
      </w:r>
      <w:r w:rsidR="009401CF">
        <w:rPr>
          <w:sz w:val="24"/>
          <w:szCs w:val="28"/>
        </w:rPr>
        <w:t>schon Tage vorher Tausende</w:t>
      </w:r>
      <w:r w:rsidRPr="00627C56">
        <w:rPr>
          <w:sz w:val="24"/>
          <w:szCs w:val="28"/>
        </w:rPr>
        <w:t xml:space="preserve"> von Plakaten </w:t>
      </w:r>
      <w:r w:rsidR="009401CF">
        <w:rPr>
          <w:sz w:val="24"/>
          <w:szCs w:val="28"/>
        </w:rPr>
        <w:t xml:space="preserve">in Umlauf gebracht hatten und nun schrien: </w:t>
      </w:r>
    </w:p>
    <w:p w:rsidR="009401CF" w:rsidRDefault="009401CF" w:rsidP="0045700F">
      <w:pPr>
        <w:rPr>
          <w:sz w:val="24"/>
          <w:szCs w:val="28"/>
        </w:rPr>
      </w:pPr>
    </w:p>
    <w:p w:rsidR="008D6296" w:rsidRPr="00627C56" w:rsidRDefault="008D6296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“Er (Milosevic) muss weg!“</w:t>
      </w:r>
    </w:p>
    <w:p w:rsidR="0003533A" w:rsidRDefault="0003533A" w:rsidP="00627C56">
      <w:pPr>
        <w:rPr>
          <w:sz w:val="24"/>
          <w:szCs w:val="28"/>
        </w:rPr>
      </w:pPr>
    </w:p>
    <w:p w:rsidR="00067359" w:rsidRPr="00627C56" w:rsidRDefault="00067359" w:rsidP="00627C56">
      <w:pPr>
        <w:rPr>
          <w:sz w:val="24"/>
          <w:szCs w:val="28"/>
        </w:rPr>
      </w:pPr>
      <w:r w:rsidRPr="00627C56">
        <w:rPr>
          <w:sz w:val="24"/>
          <w:szCs w:val="28"/>
        </w:rPr>
        <w:t>Bekannt sind die</w:t>
      </w:r>
      <w:r w:rsidR="00E35CF8" w:rsidRPr="00627C56">
        <w:rPr>
          <w:sz w:val="24"/>
          <w:szCs w:val="28"/>
        </w:rPr>
        <w:t xml:space="preserve"> </w:t>
      </w:r>
      <w:r w:rsidRPr="00627C56">
        <w:rPr>
          <w:sz w:val="24"/>
          <w:szCs w:val="28"/>
        </w:rPr>
        <w:t>internationalen</w:t>
      </w:r>
      <w:r w:rsidR="00E35CF8" w:rsidRPr="00627C56">
        <w:rPr>
          <w:sz w:val="24"/>
          <w:szCs w:val="28"/>
        </w:rPr>
        <w:t xml:space="preserve"> Aktionen der US-</w:t>
      </w:r>
      <w:r w:rsidR="00627C56" w:rsidRPr="00627C56">
        <w:rPr>
          <w:sz w:val="24"/>
          <w:szCs w:val="28"/>
        </w:rPr>
        <w:t>Untergrundorganisation</w:t>
      </w:r>
      <w:r w:rsidR="00627C56">
        <w:rPr>
          <w:sz w:val="24"/>
          <w:szCs w:val="28"/>
        </w:rPr>
        <w:t xml:space="preserve"> </w:t>
      </w:r>
      <w:r w:rsidR="008D6296" w:rsidRPr="00627C56">
        <w:rPr>
          <w:sz w:val="24"/>
          <w:szCs w:val="28"/>
        </w:rPr>
        <w:t>OTPOR—jetzt CANVAS-</w:t>
      </w:r>
      <w:r w:rsidR="00627C56">
        <w:rPr>
          <w:sz w:val="24"/>
          <w:szCs w:val="28"/>
        </w:rPr>
        <w:t xml:space="preserve">- </w:t>
      </w:r>
      <w:r w:rsidR="009401CF">
        <w:rPr>
          <w:sz w:val="24"/>
          <w:szCs w:val="28"/>
        </w:rPr>
        <w:t>die in allen den</w:t>
      </w:r>
      <w:r w:rsidRPr="00627C56">
        <w:rPr>
          <w:sz w:val="24"/>
          <w:szCs w:val="28"/>
        </w:rPr>
        <w:t xml:space="preserve"> US- und NATO unliebsamen Ländern Regime</w:t>
      </w:r>
      <w:r w:rsidR="00627C56">
        <w:rPr>
          <w:sz w:val="24"/>
          <w:szCs w:val="28"/>
        </w:rPr>
        <w:t>-</w:t>
      </w:r>
      <w:proofErr w:type="spellStart"/>
      <w:r w:rsidR="00627C56">
        <w:rPr>
          <w:sz w:val="24"/>
          <w:szCs w:val="28"/>
        </w:rPr>
        <w:t>C</w:t>
      </w:r>
      <w:r w:rsidRPr="00627C56">
        <w:rPr>
          <w:sz w:val="24"/>
          <w:szCs w:val="28"/>
        </w:rPr>
        <w:t>hanges</w:t>
      </w:r>
      <w:proofErr w:type="spellEnd"/>
      <w:r w:rsidR="0003533A">
        <w:rPr>
          <w:sz w:val="24"/>
          <w:szCs w:val="28"/>
        </w:rPr>
        <w:t xml:space="preserve"> durchführen</w:t>
      </w:r>
      <w:r w:rsidRPr="00627C56">
        <w:rPr>
          <w:sz w:val="24"/>
          <w:szCs w:val="28"/>
        </w:rPr>
        <w:t xml:space="preserve"> </w:t>
      </w:r>
      <w:r w:rsidR="000A3D6D" w:rsidRPr="00627C56">
        <w:rPr>
          <w:sz w:val="24"/>
          <w:szCs w:val="28"/>
        </w:rPr>
        <w:t>im Auftrage von</w:t>
      </w:r>
      <w:r w:rsidR="000A3D6D" w:rsidRPr="00627C56">
        <w:rPr>
          <w:rFonts w:cs="Arial"/>
          <w:color w:val="191919"/>
          <w:sz w:val="24"/>
          <w:szCs w:val="22"/>
        </w:rPr>
        <w:t xml:space="preserve"> International </w:t>
      </w:r>
      <w:proofErr w:type="spellStart"/>
      <w:r w:rsidR="000A3D6D" w:rsidRPr="00627C56">
        <w:rPr>
          <w:rFonts w:cs="Arial"/>
          <w:color w:val="191919"/>
          <w:sz w:val="24"/>
          <w:szCs w:val="22"/>
        </w:rPr>
        <w:t>Republican</w:t>
      </w:r>
      <w:proofErr w:type="spellEnd"/>
      <w:r w:rsidR="000A3D6D" w:rsidRPr="00627C56">
        <w:rPr>
          <w:rFonts w:cs="Arial"/>
          <w:color w:val="191919"/>
          <w:sz w:val="24"/>
          <w:szCs w:val="22"/>
        </w:rPr>
        <w:t xml:space="preserve"> Institute IRI (seit 2002), das National Democratic Institute NDI (seit 2002), Freedom House (seit 2004), USAID (seit 2002), NED und dem Open Society Institute seit 2006), </w:t>
      </w:r>
      <w:r w:rsidR="00627C56">
        <w:rPr>
          <w:rFonts w:cs="Arial"/>
          <w:color w:val="191919"/>
          <w:sz w:val="24"/>
          <w:szCs w:val="22"/>
        </w:rPr>
        <w:t xml:space="preserve">die </w:t>
      </w:r>
      <w:r w:rsidR="0003533A">
        <w:rPr>
          <w:rFonts w:cs="Arial"/>
          <w:color w:val="191919"/>
          <w:sz w:val="24"/>
          <w:szCs w:val="22"/>
        </w:rPr>
        <w:t xml:space="preserve">wiederum </w:t>
      </w:r>
      <w:r w:rsidR="00627C56">
        <w:rPr>
          <w:rFonts w:cs="Arial"/>
          <w:color w:val="191919"/>
          <w:sz w:val="24"/>
          <w:szCs w:val="22"/>
        </w:rPr>
        <w:t xml:space="preserve">von der </w:t>
      </w:r>
      <w:r w:rsidR="000A3D6D" w:rsidRPr="00627C56">
        <w:rPr>
          <w:rFonts w:cs="Arial"/>
          <w:color w:val="191919"/>
          <w:sz w:val="24"/>
          <w:szCs w:val="22"/>
        </w:rPr>
        <w:t>US-Regierung</w:t>
      </w:r>
      <w:r w:rsidR="00627C56">
        <w:rPr>
          <w:rFonts w:cs="Arial"/>
          <w:color w:val="191919"/>
          <w:sz w:val="24"/>
          <w:szCs w:val="22"/>
        </w:rPr>
        <w:t>, dem</w:t>
      </w:r>
      <w:r w:rsidR="000A3D6D" w:rsidRPr="00627C56">
        <w:rPr>
          <w:rFonts w:cs="Arial"/>
          <w:color w:val="191919"/>
          <w:sz w:val="24"/>
          <w:szCs w:val="22"/>
        </w:rPr>
        <w:t xml:space="preserve"> Pentagon und </w:t>
      </w:r>
      <w:r w:rsidR="00627C56">
        <w:rPr>
          <w:rFonts w:cs="Arial"/>
          <w:color w:val="191919"/>
          <w:sz w:val="24"/>
          <w:szCs w:val="22"/>
        </w:rPr>
        <w:t xml:space="preserve">dem </w:t>
      </w:r>
      <w:r w:rsidR="000A3D6D" w:rsidRPr="00627C56">
        <w:rPr>
          <w:rFonts w:cs="Arial"/>
          <w:color w:val="191919"/>
          <w:sz w:val="24"/>
          <w:szCs w:val="22"/>
        </w:rPr>
        <w:t>US-Außenministerium jä</w:t>
      </w:r>
      <w:r w:rsidR="00627C56">
        <w:rPr>
          <w:rFonts w:cs="Arial"/>
          <w:color w:val="191919"/>
          <w:sz w:val="24"/>
          <w:szCs w:val="22"/>
        </w:rPr>
        <w:t>hrlich Milliardenbeträge bekommen</w:t>
      </w:r>
      <w:r w:rsidR="000A3D6D" w:rsidRPr="00627C56">
        <w:rPr>
          <w:rFonts w:cs="Arial"/>
          <w:color w:val="191919"/>
          <w:sz w:val="24"/>
          <w:szCs w:val="22"/>
        </w:rPr>
        <w:t xml:space="preserve">, um ihren „Way </w:t>
      </w:r>
      <w:proofErr w:type="spellStart"/>
      <w:r w:rsidR="000A3D6D" w:rsidRPr="00627C56">
        <w:rPr>
          <w:rFonts w:cs="Arial"/>
          <w:color w:val="191919"/>
          <w:sz w:val="24"/>
          <w:szCs w:val="22"/>
        </w:rPr>
        <w:t>of</w:t>
      </w:r>
      <w:proofErr w:type="spellEnd"/>
      <w:r w:rsidR="000A3D6D" w:rsidRPr="00627C56">
        <w:rPr>
          <w:rFonts w:cs="Arial"/>
          <w:color w:val="191919"/>
          <w:sz w:val="24"/>
          <w:szCs w:val="22"/>
        </w:rPr>
        <w:t xml:space="preserve"> </w:t>
      </w:r>
      <w:proofErr w:type="spellStart"/>
      <w:r w:rsidR="000A3D6D" w:rsidRPr="00627C56">
        <w:rPr>
          <w:rFonts w:cs="Arial"/>
          <w:color w:val="191919"/>
          <w:sz w:val="24"/>
          <w:szCs w:val="22"/>
        </w:rPr>
        <w:t>life</w:t>
      </w:r>
      <w:proofErr w:type="spellEnd"/>
      <w:r w:rsidR="000A3D6D" w:rsidRPr="00627C56">
        <w:rPr>
          <w:rFonts w:cs="Arial"/>
          <w:color w:val="191919"/>
          <w:sz w:val="24"/>
          <w:szCs w:val="22"/>
        </w:rPr>
        <w:t>“-</w:t>
      </w:r>
      <w:r w:rsidR="0003533A">
        <w:rPr>
          <w:rFonts w:cs="Arial"/>
          <w:color w:val="191919"/>
          <w:sz w:val="24"/>
          <w:szCs w:val="22"/>
        </w:rPr>
        <w:t>-</w:t>
      </w:r>
      <w:r w:rsidR="000A3D6D" w:rsidRPr="00627C56">
        <w:rPr>
          <w:rFonts w:cs="Arial"/>
          <w:color w:val="191919"/>
          <w:sz w:val="24"/>
          <w:szCs w:val="22"/>
        </w:rPr>
        <w:t xml:space="preserve"> in den westlichen Ländern</w:t>
      </w:r>
      <w:r w:rsidR="00314D5E" w:rsidRPr="00627C56">
        <w:rPr>
          <w:rFonts w:cs="Arial"/>
          <w:color w:val="191919"/>
          <w:sz w:val="24"/>
          <w:szCs w:val="22"/>
        </w:rPr>
        <w:t xml:space="preserve"> unter dem Be</w:t>
      </w:r>
      <w:r w:rsidR="0003533A">
        <w:rPr>
          <w:rFonts w:cs="Arial"/>
          <w:color w:val="191919"/>
          <w:sz w:val="24"/>
          <w:szCs w:val="22"/>
        </w:rPr>
        <w:t>griff „westliche Werte“ bekannt--</w:t>
      </w:r>
      <w:r w:rsidR="00314D5E" w:rsidRPr="00627C56">
        <w:rPr>
          <w:rFonts w:cs="Arial"/>
          <w:color w:val="191919"/>
          <w:sz w:val="24"/>
          <w:szCs w:val="22"/>
        </w:rPr>
        <w:t xml:space="preserve"> ideologisch und auch mi</w:t>
      </w:r>
      <w:r w:rsidR="00627C56">
        <w:rPr>
          <w:rFonts w:cs="Arial"/>
          <w:color w:val="191919"/>
          <w:sz w:val="24"/>
          <w:szCs w:val="22"/>
        </w:rPr>
        <w:t>litärisch durchzusetzen versuchen</w:t>
      </w:r>
      <w:r w:rsidR="00314D5E" w:rsidRPr="00627C56">
        <w:rPr>
          <w:rFonts w:cs="Arial"/>
          <w:color w:val="191919"/>
          <w:sz w:val="24"/>
          <w:szCs w:val="22"/>
        </w:rPr>
        <w:t xml:space="preserve">! </w:t>
      </w:r>
    </w:p>
    <w:p w:rsidR="00314D5E" w:rsidRPr="00627C56" w:rsidRDefault="00314D5E" w:rsidP="00314D5E">
      <w:pPr>
        <w:shd w:val="clear" w:color="auto" w:fill="FFFFFF"/>
        <w:spacing w:before="100" w:beforeAutospacing="1" w:after="100" w:afterAutospacing="1"/>
        <w:rPr>
          <w:rFonts w:cs="Arial"/>
          <w:color w:val="191919"/>
          <w:sz w:val="24"/>
          <w:szCs w:val="22"/>
        </w:rPr>
      </w:pPr>
      <w:r w:rsidRPr="00627C56">
        <w:rPr>
          <w:sz w:val="24"/>
          <w:szCs w:val="28"/>
        </w:rPr>
        <w:t>Siehe</w:t>
      </w:r>
      <w:r w:rsidR="00DE4825" w:rsidRPr="00627C56">
        <w:rPr>
          <w:sz w:val="24"/>
          <w:szCs w:val="28"/>
        </w:rPr>
        <w:t xml:space="preserve"> dazu auch Peter Scholl Latour „Russland im Zangengriff“, </w:t>
      </w:r>
      <w:r w:rsidR="00627C56">
        <w:rPr>
          <w:sz w:val="24"/>
          <w:szCs w:val="28"/>
        </w:rPr>
        <w:t xml:space="preserve">ISBN-13:978-3-549-07265-3, </w:t>
      </w:r>
      <w:r w:rsidR="00DE4825" w:rsidRPr="00627C56">
        <w:rPr>
          <w:sz w:val="24"/>
          <w:szCs w:val="28"/>
        </w:rPr>
        <w:t>S.384 und folgende Seiten)</w:t>
      </w:r>
    </w:p>
    <w:p w:rsidR="00067359" w:rsidRDefault="00067359" w:rsidP="00DE4825">
      <w:pPr>
        <w:rPr>
          <w:sz w:val="24"/>
        </w:rPr>
      </w:pPr>
      <w:r w:rsidRPr="00627C56">
        <w:rPr>
          <w:sz w:val="24"/>
        </w:rPr>
        <w:t xml:space="preserve">Als Dank für ihren Anteil am Systemwechsel in Jugoslawien bekam die Studentenorganisation OTPOR seitens der Friedrich Ebert- Stiftung 1 Jahr </w:t>
      </w:r>
      <w:r w:rsidR="00DE4825" w:rsidRPr="00627C56">
        <w:rPr>
          <w:sz w:val="24"/>
        </w:rPr>
        <w:t xml:space="preserve">nach dem verbrecherischen </w:t>
      </w:r>
      <w:r w:rsidR="0003533A">
        <w:rPr>
          <w:sz w:val="24"/>
        </w:rPr>
        <w:t>N</w:t>
      </w:r>
      <w:r w:rsidR="00DE4825" w:rsidRPr="00627C56">
        <w:rPr>
          <w:sz w:val="24"/>
        </w:rPr>
        <w:t>ATO-Bombardement Jugoslawiens im Jahre 1999 sogar</w:t>
      </w:r>
      <w:r w:rsidRPr="00627C56">
        <w:rPr>
          <w:sz w:val="24"/>
        </w:rPr>
        <w:t xml:space="preserve"> den Menschenrechtspreis </w:t>
      </w:r>
      <w:proofErr w:type="gramStart"/>
      <w:r w:rsidRPr="00627C56">
        <w:rPr>
          <w:sz w:val="24"/>
        </w:rPr>
        <w:t>2001</w:t>
      </w:r>
      <w:r w:rsidR="00DE4825" w:rsidRPr="00627C56">
        <w:rPr>
          <w:sz w:val="24"/>
        </w:rPr>
        <w:t xml:space="preserve"> !!</w:t>
      </w:r>
      <w:r w:rsidRPr="00627C56">
        <w:rPr>
          <w:sz w:val="24"/>
        </w:rPr>
        <w:t>!</w:t>
      </w:r>
      <w:proofErr w:type="gramEnd"/>
    </w:p>
    <w:p w:rsidR="0003533A" w:rsidRDefault="0003533A" w:rsidP="00DE4825">
      <w:pPr>
        <w:rPr>
          <w:sz w:val="24"/>
        </w:rPr>
      </w:pPr>
    </w:p>
    <w:p w:rsidR="0003533A" w:rsidRPr="00627C56" w:rsidRDefault="0003533A" w:rsidP="00DE4825">
      <w:pPr>
        <w:rPr>
          <w:sz w:val="24"/>
        </w:rPr>
      </w:pPr>
      <w:r>
        <w:rPr>
          <w:sz w:val="24"/>
        </w:rPr>
        <w:t>Da die Oppositionellen in Belarus—flankiert von den US/NATO-Staaten-- jetzt unken, die Wahlen in Belarus seien gefälscht worden, schauen wir uns mal die wirtschaftliche Situation im Lande an.</w:t>
      </w:r>
    </w:p>
    <w:p w:rsidR="008D6296" w:rsidRPr="00627C56" w:rsidRDefault="008D6296" w:rsidP="0045700F">
      <w:pPr>
        <w:rPr>
          <w:sz w:val="24"/>
          <w:szCs w:val="28"/>
        </w:rPr>
      </w:pPr>
    </w:p>
    <w:p w:rsidR="00823103" w:rsidRPr="00627C56" w:rsidRDefault="00823103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Die Daten der Wirts</w:t>
      </w:r>
      <w:r w:rsidR="00644DFC" w:rsidRPr="00627C56">
        <w:rPr>
          <w:sz w:val="24"/>
          <w:szCs w:val="28"/>
        </w:rPr>
        <w:t>chaftsentwicklung von Belarus sa</w:t>
      </w:r>
      <w:r w:rsidRPr="00627C56">
        <w:rPr>
          <w:sz w:val="24"/>
          <w:szCs w:val="28"/>
        </w:rPr>
        <w:t xml:space="preserve">hen im Jahre </w:t>
      </w:r>
    </w:p>
    <w:p w:rsidR="00823103" w:rsidRPr="00627C56" w:rsidRDefault="00823103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lastRenderedPageBreak/>
        <w:t>2019-- ein halbes Jahr vor der Corona</w:t>
      </w:r>
      <w:r w:rsidR="0003533A">
        <w:rPr>
          <w:sz w:val="24"/>
          <w:szCs w:val="28"/>
        </w:rPr>
        <w:t>-P</w:t>
      </w:r>
      <w:r w:rsidRPr="00627C56">
        <w:rPr>
          <w:sz w:val="24"/>
          <w:szCs w:val="28"/>
        </w:rPr>
        <w:t>andemie-- wie folgt aus:</w:t>
      </w:r>
    </w:p>
    <w:p w:rsidR="00644DFC" w:rsidRPr="00627C56" w:rsidRDefault="00644DFC" w:rsidP="0045700F">
      <w:pPr>
        <w:rPr>
          <w:sz w:val="24"/>
          <w:szCs w:val="28"/>
        </w:rPr>
      </w:pPr>
    </w:p>
    <w:p w:rsidR="00823103" w:rsidRPr="00627C56" w:rsidRDefault="00823103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- die Arbeitslosenquote war bis Ende 2019 </w:t>
      </w:r>
      <w:r w:rsidR="00627C56">
        <w:rPr>
          <w:sz w:val="24"/>
          <w:szCs w:val="28"/>
        </w:rPr>
        <w:t xml:space="preserve">auf 0,31 % </w:t>
      </w:r>
      <w:r w:rsidR="0003533A">
        <w:rPr>
          <w:sz w:val="24"/>
          <w:szCs w:val="28"/>
        </w:rPr>
        <w:t>kontinuierlich gesunken;</w:t>
      </w:r>
    </w:p>
    <w:p w:rsidR="00823103" w:rsidRPr="00627C56" w:rsidRDefault="00823103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- das Bruttoinlandprodukt im Jahre 2019 betrug total 56,35 Mrd. Euro</w:t>
      </w:r>
      <w:r w:rsidR="0003533A">
        <w:rPr>
          <w:sz w:val="24"/>
          <w:szCs w:val="28"/>
        </w:rPr>
        <w:t>;</w:t>
      </w:r>
    </w:p>
    <w:p w:rsidR="00823103" w:rsidRPr="00627C56" w:rsidRDefault="00823103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- das Bruttoinlandprodukt pro Kopf lag bei 5,952 Mrd. Euro.</w:t>
      </w:r>
    </w:p>
    <w:p w:rsidR="00823103" w:rsidRPr="00627C56" w:rsidRDefault="00823103" w:rsidP="0045700F">
      <w:pPr>
        <w:rPr>
          <w:sz w:val="24"/>
          <w:szCs w:val="28"/>
        </w:rPr>
      </w:pPr>
    </w:p>
    <w:p w:rsidR="008D6296" w:rsidRDefault="00A0056B" w:rsidP="0045700F">
      <w:pPr>
        <w:rPr>
          <w:sz w:val="24"/>
          <w:szCs w:val="28"/>
        </w:rPr>
      </w:pPr>
      <w:hyperlink r:id="rId4" w:history="1">
        <w:r w:rsidR="0003533A" w:rsidRPr="00FD539F">
          <w:rPr>
            <w:rStyle w:val="Hyperlink"/>
            <w:sz w:val="24"/>
            <w:szCs w:val="28"/>
          </w:rPr>
          <w:t>https://www.laenderdaten.info/Europa/Belarus/wirtschaft.php</w:t>
        </w:r>
      </w:hyperlink>
    </w:p>
    <w:p w:rsidR="0003533A" w:rsidRPr="00627C56" w:rsidRDefault="0003533A" w:rsidP="0045700F">
      <w:pPr>
        <w:rPr>
          <w:sz w:val="24"/>
          <w:szCs w:val="28"/>
        </w:rPr>
      </w:pPr>
    </w:p>
    <w:p w:rsidR="00655E2F" w:rsidRPr="00627C56" w:rsidRDefault="00655E2F" w:rsidP="0045700F">
      <w:pPr>
        <w:rPr>
          <w:sz w:val="24"/>
          <w:szCs w:val="28"/>
        </w:rPr>
      </w:pPr>
    </w:p>
    <w:p w:rsidR="006A4772" w:rsidRPr="00627C56" w:rsidRDefault="006A4772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Das monatliche Durchschnittseinkommen in Belarus lag im Juni 2020 durchschnittlich bei 524 US </w:t>
      </w:r>
      <w:proofErr w:type="gramStart"/>
      <w:r w:rsidRPr="00627C56">
        <w:rPr>
          <w:sz w:val="24"/>
          <w:szCs w:val="28"/>
        </w:rPr>
        <w:t>$ !</w:t>
      </w:r>
      <w:proofErr w:type="gramEnd"/>
    </w:p>
    <w:p w:rsidR="006A4772" w:rsidRPr="00627C56" w:rsidRDefault="00A0056B" w:rsidP="0045700F">
      <w:pPr>
        <w:rPr>
          <w:sz w:val="24"/>
          <w:szCs w:val="28"/>
        </w:rPr>
      </w:pPr>
      <w:hyperlink r:id="rId5" w:history="1">
        <w:r w:rsidR="00D45B1B" w:rsidRPr="00627C56">
          <w:rPr>
            <w:rStyle w:val="Hyperlink"/>
            <w:sz w:val="24"/>
            <w:szCs w:val="28"/>
          </w:rPr>
          <w:t>https://www.ceicdata.com/de/indicator/belarus/monthly-earnings</w:t>
        </w:r>
      </w:hyperlink>
    </w:p>
    <w:p w:rsidR="00D45B1B" w:rsidRPr="00627C56" w:rsidRDefault="00D45B1B" w:rsidP="0045700F">
      <w:pPr>
        <w:rPr>
          <w:sz w:val="24"/>
          <w:szCs w:val="28"/>
        </w:rPr>
      </w:pPr>
    </w:p>
    <w:p w:rsidR="00D45B1B" w:rsidRPr="00627C56" w:rsidRDefault="00B529F5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Dabei besteht der gegenwärtige Umtauschsatz von belorussischen Rubeln zum Dollar 2,463 und zum Euro 2,8935</w:t>
      </w:r>
    </w:p>
    <w:p w:rsidR="00B529F5" w:rsidRPr="00627C56" w:rsidRDefault="00B529F5" w:rsidP="0045700F">
      <w:pPr>
        <w:rPr>
          <w:sz w:val="24"/>
          <w:szCs w:val="28"/>
        </w:rPr>
      </w:pPr>
    </w:p>
    <w:p w:rsidR="00B529F5" w:rsidRPr="00627C56" w:rsidRDefault="00B529F5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Vergleichen wir nun die Lebenshaltungskosten in Belarus:</w:t>
      </w:r>
    </w:p>
    <w:p w:rsidR="00D45B1B" w:rsidRPr="00627C56" w:rsidRDefault="00D45B1B" w:rsidP="0045700F">
      <w:pPr>
        <w:rPr>
          <w:sz w:val="24"/>
          <w:szCs w:val="28"/>
        </w:rPr>
      </w:pPr>
    </w:p>
    <w:p w:rsidR="00B529F5" w:rsidRPr="00627C56" w:rsidRDefault="00B529F5" w:rsidP="00B529F5">
      <w:pPr>
        <w:pStyle w:val="berschrift1"/>
        <w:rPr>
          <w:sz w:val="24"/>
        </w:rPr>
      </w:pPr>
      <w:r w:rsidRPr="00627C56">
        <w:rPr>
          <w:sz w:val="24"/>
        </w:rPr>
        <w:t xml:space="preserve">Lebenshaltungskosten in Weißrussland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529F5" w:rsidRPr="00627C56" w:rsidTr="00B529F5">
        <w:trPr>
          <w:trHeight w:val="360"/>
          <w:tblCellSpacing w:w="15" w:type="dxa"/>
        </w:trPr>
        <w:tc>
          <w:tcPr>
            <w:tcW w:w="0" w:type="auto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</w:tbl>
    <w:p w:rsidR="00B529F5" w:rsidRPr="00627C56" w:rsidRDefault="00B529F5" w:rsidP="00B529F5">
      <w:pPr>
        <w:pStyle w:val="z-Formularbeginn"/>
        <w:rPr>
          <w:rFonts w:ascii="Times New Roman" w:hAnsi="Times New Roman"/>
          <w:sz w:val="24"/>
        </w:rPr>
      </w:pPr>
      <w:r w:rsidRPr="00627C56">
        <w:rPr>
          <w:rFonts w:ascii="Times New Roman" w:hAnsi="Times New Roman"/>
          <w:sz w:val="24"/>
        </w:rPr>
        <w:t>Formularbeginn</w:t>
      </w:r>
    </w:p>
    <w:p w:rsidR="00B529F5" w:rsidRPr="00627C56" w:rsidRDefault="00B529F5" w:rsidP="00B529F5">
      <w:pPr>
        <w:rPr>
          <w:sz w:val="24"/>
          <w:szCs w:val="24"/>
        </w:rPr>
      </w:pPr>
    </w:p>
    <w:p w:rsidR="00B529F5" w:rsidRPr="00627C56" w:rsidRDefault="00B529F5" w:rsidP="00B529F5">
      <w:pPr>
        <w:pStyle w:val="z-Formularende"/>
        <w:rPr>
          <w:rFonts w:ascii="Times New Roman" w:hAnsi="Times New Roman"/>
          <w:sz w:val="24"/>
        </w:rPr>
      </w:pPr>
      <w:r w:rsidRPr="00627C56">
        <w:rPr>
          <w:rFonts w:ascii="Times New Roman" w:hAnsi="Times New Roman"/>
          <w:sz w:val="24"/>
        </w:rPr>
        <w:t>Formularende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615"/>
      </w:tblGrid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Index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Lebenshaltungskosten-Index (ohne Miete):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33,04</w:t>
            </w: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Miet-Index: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8,79</w:t>
            </w: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Lebensmittel-Index: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28,90</w:t>
            </w: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Gaststätten-Index: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32,33</w:t>
            </w: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Index Lebenshaltungskosten + Miete: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20,90</w:t>
            </w:r>
          </w:p>
        </w:tc>
      </w:tr>
      <w:tr w:rsidR="00B529F5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Örtliche Kaufkraft: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35,19</w:t>
            </w:r>
          </w:p>
        </w:tc>
      </w:tr>
    </w:tbl>
    <w:p w:rsidR="00B529F5" w:rsidRPr="00627C56" w:rsidRDefault="00B529F5" w:rsidP="00B529F5">
      <w:pPr>
        <w:rPr>
          <w:sz w:val="24"/>
        </w:rPr>
      </w:pPr>
    </w:p>
    <w:p w:rsidR="00B529F5" w:rsidRPr="00627C56" w:rsidRDefault="00B529F5" w:rsidP="00B529F5">
      <w:pPr>
        <w:pStyle w:val="z-Formularbeginn"/>
        <w:rPr>
          <w:rFonts w:ascii="Times New Roman" w:hAnsi="Times New Roman"/>
          <w:sz w:val="24"/>
        </w:rPr>
      </w:pPr>
      <w:r w:rsidRPr="00627C56">
        <w:rPr>
          <w:rFonts w:ascii="Times New Roman" w:hAnsi="Times New Roman"/>
          <w:sz w:val="24"/>
        </w:rPr>
        <w:t>Formularbeginn</w:t>
      </w:r>
    </w:p>
    <w:p w:rsidR="00B529F5" w:rsidRPr="00627C56" w:rsidRDefault="00B529F5" w:rsidP="00B529F5">
      <w:pPr>
        <w:rPr>
          <w:sz w:val="24"/>
        </w:rPr>
      </w:pPr>
    </w:p>
    <w:p w:rsidR="00B529F5" w:rsidRPr="00627C56" w:rsidRDefault="00B529F5" w:rsidP="00B529F5">
      <w:pPr>
        <w:pStyle w:val="z-Formularende"/>
        <w:rPr>
          <w:rFonts w:ascii="Times New Roman" w:hAnsi="Times New Roman"/>
          <w:sz w:val="24"/>
        </w:rPr>
      </w:pPr>
      <w:r w:rsidRPr="00627C56">
        <w:rPr>
          <w:rFonts w:ascii="Times New Roman" w:hAnsi="Times New Roman"/>
          <w:sz w:val="24"/>
        </w:rPr>
        <w:t>Formularende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4"/>
        <w:gridCol w:w="1587"/>
        <w:gridCol w:w="81"/>
      </w:tblGrid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Mahlzeit in preiswertem Restaurant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20,00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Drei Gänge für zwei Personen in Mittelklasse-Restaurant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61,43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Menü bei McDonald‘s (oder vergleichbares Kombi-Menü)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10,00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Heimisches Bier (0,5 Liter, gezapft)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4,15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Importiertes Bier (0,33-Liter-Flasche)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7,37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Cappuccino (normal)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3,78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Coke/Pepsi (0,33-Liter-Flasche)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1,66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Wasser (0,33-Liter-Flasche)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1,08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Lebensmittel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Milch (gewöhnliche), 1 Liter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1,70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Frisches Weißbrot (500 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1,38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Reis (weiß),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2,55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Eier (mittelgroß), (12 Stück)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2,99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Heimischer Käse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14,76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lastRenderedPageBreak/>
              <w:t xml:space="preserve">Hähnchenfilets (1kg)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8,68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Rinderkeule (1 kg) (oder vergleichbares rotes Fleisch)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15,57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Äpfel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3,14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Bananen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3,12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Orangen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4,14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Tomaten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4,62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Kartoffeln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1,20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Zwiebeln (1 kg)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1,44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Kopfsalat (1 Stück)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2,30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Wasser (1,5-Liter-Flasche)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1,49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Wein (1 Flasche, </w:t>
            </w:r>
            <w:proofErr w:type="spellStart"/>
            <w:r w:rsidRPr="00627C56">
              <w:rPr>
                <w:sz w:val="24"/>
              </w:rPr>
              <w:t>mittelpreisig</w:t>
            </w:r>
            <w:proofErr w:type="spellEnd"/>
            <w:r w:rsidRPr="00627C56">
              <w:rPr>
                <w:sz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19,16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Heimisches Bier (0,5 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2,16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Importiertes Bier (0,33-Liter-Flasche)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4,38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Zigaretten 20 Pack (Marlboro)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3,81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Fortbewegung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Einfache Fahrt im ÖPNV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0,70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Monatskarte (regulärer Preis)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36,00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Taxi Grundtarif (Normaler Tarif)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3,56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1 Kilometer im Taxi (Normaler Tarif)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0,61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Wartegebühren fürs Taxi (Normaler Tarif)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6,76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Benzin (1 Liter)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1,82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Volkswagen Golf </w:t>
            </w:r>
            <w:proofErr w:type="spellStart"/>
            <w:r w:rsidRPr="00627C56">
              <w:rPr>
                <w:sz w:val="24"/>
              </w:rPr>
              <w:t>Trendline</w:t>
            </w:r>
            <w:proofErr w:type="spellEnd"/>
            <w:r w:rsidRPr="00627C56">
              <w:rPr>
                <w:sz w:val="24"/>
              </w:rPr>
              <w:t xml:space="preserve">, 1.4, 90 kW (oder vergleichbarer Neuwagen)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38.000,00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Toyota </w:t>
            </w:r>
            <w:proofErr w:type="spellStart"/>
            <w:r w:rsidRPr="00627C56">
              <w:rPr>
                <w:sz w:val="24"/>
              </w:rPr>
              <w:t>Corolla</w:t>
            </w:r>
            <w:proofErr w:type="spellEnd"/>
            <w:r w:rsidRPr="00627C56">
              <w:rPr>
                <w:sz w:val="24"/>
              </w:rPr>
              <w:t xml:space="preserve"> Limousine </w:t>
            </w:r>
            <w:proofErr w:type="spellStart"/>
            <w:r w:rsidRPr="00627C56">
              <w:rPr>
                <w:sz w:val="24"/>
              </w:rPr>
              <w:t>Comfort</w:t>
            </w:r>
            <w:proofErr w:type="spellEnd"/>
            <w:r w:rsidRPr="00627C56">
              <w:rPr>
                <w:sz w:val="24"/>
              </w:rPr>
              <w:t xml:space="preserve">, 1.6, 97 kW (oder vergleichbarer Neuwagen)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45.457,88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Nebenkosten und Kommunikation (pro Monat)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 w:rsidP="00E72CF4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Nebenkosten (Strom, Heizung, Klimaanlage, Wasser, Müll) für eine Wohnung mit 85 m²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129,66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1 Prepaid-Handyminute ohne Vertrag oder Sonderangebote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0,12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Internet (Kabel-/ADSL-Flatrate mit 60 Mbit/s oder mehr)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30,87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Sport und Freizeit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 w:rsidP="00400C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Mitgliedsbeitrag fürs Fitnessstudio (monatlich)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74,63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Miete für Tennisplatz (1 Stunde am Wochenende)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37,73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Kinokarte, Hollywood-Produktion oder vergleichbar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9,83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Schulen und Kindergärten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Private Kindertagesstätte oder Vorschule mit Ganztagsbetreuung pro Monat und Kind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1.119,32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Internationale Grundschule pro Jahr und Kind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14.603,30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Kleidung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 w:rsidP="00400C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1 Jeans (Levis 501 oder vergleichbar)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147,66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1 Sommerkleid aus einer Modekette (z. B. </w:t>
            </w:r>
            <w:proofErr w:type="spellStart"/>
            <w:r w:rsidRPr="00627C56">
              <w:rPr>
                <w:sz w:val="24"/>
              </w:rPr>
              <w:t>Zara</w:t>
            </w:r>
            <w:proofErr w:type="spellEnd"/>
            <w:r w:rsidRPr="00627C56">
              <w:rPr>
                <w:sz w:val="24"/>
              </w:rPr>
              <w:t xml:space="preserve">, H&amp;M usw.)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89,56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1 Paar Nike-Turnschuhe (mittleres Preissegment)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211,18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1 Paar Leder-Business-Schuhe für Männer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191,52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Monatliche Mieten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lastRenderedPageBreak/>
              <w:t xml:space="preserve">Zwei-Zimmer-Wohnung im Stadtkern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791,71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Zwei-Zimmer-Wohnung außerhalb des Stadtkerns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532,53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Vier-Zimmer-Wohnung im Stadtkern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1.379,37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Vier-Zimmer-Wohnung außerhalb des Stadtkerns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895,58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>Kaufpreise für Wohnungen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 w:rsidP="00400C1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Preis pro Quadratmeter einer Wohnung im Stadtkern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3.636,02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  <w:r w:rsidRPr="00627C56">
              <w:rPr>
                <w:sz w:val="24"/>
              </w:rPr>
              <w:t xml:space="preserve">Preis pro Quadratmeter einer Wohnung außerhalb des Stadtkerns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2.605,87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rPr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484A26">
            <w:pPr>
              <w:jc w:val="center"/>
              <w:rPr>
                <w:b/>
                <w:bCs/>
                <w:sz w:val="24"/>
              </w:rPr>
            </w:pPr>
            <w:r w:rsidRPr="00627C56">
              <w:rPr>
                <w:b/>
                <w:bCs/>
                <w:sz w:val="24"/>
              </w:rPr>
              <w:t xml:space="preserve">Gehälter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24F81" w:rsidRPr="00627C56" w:rsidTr="00B52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9F5" w:rsidRPr="00627C56" w:rsidRDefault="00484A26">
            <w:pPr>
              <w:rPr>
                <w:sz w:val="24"/>
                <w:szCs w:val="24"/>
              </w:rPr>
            </w:pPr>
            <w:r w:rsidRPr="00627C56">
              <w:rPr>
                <w:sz w:val="24"/>
              </w:rPr>
              <w:t xml:space="preserve">DAS DURCHSCHNITTLICHE MONATLICHE NETTOEINKOMMEN  IN BELARUS BETRÄGT 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  <w:r w:rsidRPr="00627C56">
              <w:rPr>
                <w:sz w:val="24"/>
              </w:rPr>
              <w:t>1.031,53 BYN</w:t>
            </w:r>
          </w:p>
        </w:tc>
        <w:tc>
          <w:tcPr>
            <w:tcW w:w="0" w:type="auto"/>
            <w:vAlign w:val="center"/>
            <w:hideMark/>
          </w:tcPr>
          <w:p w:rsidR="00B529F5" w:rsidRPr="00627C56" w:rsidRDefault="00B529F5">
            <w:pPr>
              <w:jc w:val="right"/>
              <w:rPr>
                <w:sz w:val="24"/>
              </w:rPr>
            </w:pPr>
          </w:p>
        </w:tc>
      </w:tr>
    </w:tbl>
    <w:p w:rsidR="00B529F5" w:rsidRPr="00627C56" w:rsidRDefault="00B529F5" w:rsidP="0045700F">
      <w:pPr>
        <w:rPr>
          <w:sz w:val="24"/>
          <w:szCs w:val="28"/>
        </w:rPr>
      </w:pPr>
    </w:p>
    <w:p w:rsidR="0090683A" w:rsidRPr="00627C56" w:rsidRDefault="0090683A" w:rsidP="0090683A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Quelle: </w:t>
      </w:r>
      <w:hyperlink r:id="rId6" w:history="1">
        <w:r w:rsidRPr="00627C56">
          <w:rPr>
            <w:rStyle w:val="Hyperlink"/>
            <w:sz w:val="24"/>
            <w:szCs w:val="28"/>
          </w:rPr>
          <w:t>https://de.numbeo.com/lebenshaltungskosten/land/Wei%C3%9Frussland</w:t>
        </w:r>
      </w:hyperlink>
    </w:p>
    <w:p w:rsidR="0090683A" w:rsidRPr="00627C56" w:rsidRDefault="0090683A" w:rsidP="0090683A">
      <w:pPr>
        <w:rPr>
          <w:sz w:val="24"/>
          <w:szCs w:val="28"/>
        </w:rPr>
      </w:pPr>
    </w:p>
    <w:p w:rsidR="0090683A" w:rsidRDefault="0082433E" w:rsidP="0045700F">
      <w:pPr>
        <w:rPr>
          <w:sz w:val="24"/>
          <w:szCs w:val="28"/>
        </w:rPr>
      </w:pPr>
      <w:r>
        <w:rPr>
          <w:sz w:val="24"/>
          <w:szCs w:val="28"/>
        </w:rPr>
        <w:t xml:space="preserve">Dazu kommt, dass 1989 die Belorussen—genau wie die Russen-- ihre Wohnung für wenig Geld kaufen konnten—was auch die meisten Belorussen damals getan </w:t>
      </w:r>
      <w:proofErr w:type="gramStart"/>
      <w:r>
        <w:rPr>
          <w:sz w:val="24"/>
          <w:szCs w:val="28"/>
        </w:rPr>
        <w:t>haben !!</w:t>
      </w:r>
      <w:proofErr w:type="gramEnd"/>
    </w:p>
    <w:p w:rsidR="00C90A0B" w:rsidRDefault="00252B36" w:rsidP="0045700F">
      <w:pPr>
        <w:rPr>
          <w:sz w:val="24"/>
          <w:szCs w:val="28"/>
        </w:rPr>
      </w:pPr>
      <w:r>
        <w:rPr>
          <w:sz w:val="24"/>
          <w:szCs w:val="28"/>
        </w:rPr>
        <w:t xml:space="preserve">Das </w:t>
      </w:r>
      <w:proofErr w:type="gramStart"/>
      <w:r>
        <w:rPr>
          <w:sz w:val="24"/>
          <w:szCs w:val="28"/>
        </w:rPr>
        <w:t>heißt :</w:t>
      </w:r>
      <w:proofErr w:type="gramEnd"/>
      <w:r w:rsidR="00B02B53">
        <w:rPr>
          <w:sz w:val="24"/>
          <w:szCs w:val="28"/>
        </w:rPr>
        <w:t xml:space="preserve"> </w:t>
      </w:r>
      <w:r w:rsidR="00C90A0B">
        <w:rPr>
          <w:sz w:val="24"/>
          <w:szCs w:val="28"/>
        </w:rPr>
        <w:t>VIELE BELORUSSEN VERFÜGEN ÜBER EINE EIGENE</w:t>
      </w:r>
      <w:r>
        <w:rPr>
          <w:sz w:val="24"/>
          <w:szCs w:val="28"/>
        </w:rPr>
        <w:t xml:space="preserve"> WOHNUNG !!</w:t>
      </w:r>
    </w:p>
    <w:p w:rsidR="0082433E" w:rsidRPr="00627C56" w:rsidRDefault="0082433E" w:rsidP="0045700F">
      <w:pPr>
        <w:rPr>
          <w:sz w:val="24"/>
          <w:szCs w:val="28"/>
        </w:rPr>
      </w:pPr>
    </w:p>
    <w:p w:rsidR="0090683A" w:rsidRPr="00627C56" w:rsidRDefault="004209D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>Wir sehen, dass es der belorussischen Bevölkerung gar nicht so schlecht geht, wenn man bedenkt, dass dort die Arbeitslosenquote nur bei 0,31 % liegt!</w:t>
      </w:r>
    </w:p>
    <w:p w:rsidR="004209DF" w:rsidRPr="00627C56" w:rsidRDefault="004209DF" w:rsidP="0045700F">
      <w:pPr>
        <w:rPr>
          <w:sz w:val="24"/>
          <w:szCs w:val="28"/>
        </w:rPr>
      </w:pPr>
    </w:p>
    <w:p w:rsidR="004209DF" w:rsidRPr="00627C56" w:rsidRDefault="004209D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Dadurch scheint das Wahlergebnis in Belarus am 10.8.2020, bei dem 80,2 % der Bevölkerung für den weiteren Verbleib Lukaschenkos an der Spitze von Belarus als Präsident stimmten, völlig </w:t>
      </w:r>
      <w:proofErr w:type="gramStart"/>
      <w:r w:rsidRPr="00627C56">
        <w:rPr>
          <w:sz w:val="24"/>
          <w:szCs w:val="28"/>
        </w:rPr>
        <w:t>nachvollziehbar !</w:t>
      </w:r>
      <w:proofErr w:type="gramEnd"/>
    </w:p>
    <w:p w:rsidR="004209DF" w:rsidRPr="00627C56" w:rsidRDefault="004209DF" w:rsidP="0045700F">
      <w:pPr>
        <w:rPr>
          <w:sz w:val="24"/>
          <w:szCs w:val="28"/>
        </w:rPr>
      </w:pPr>
    </w:p>
    <w:p w:rsidR="004209DF" w:rsidRPr="00627C56" w:rsidRDefault="004209D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Vielleicht ziehen ja viele Deutsche bei der derzeitigen hohen Arbeitslosigkeit hier, sogar eine Übersiedlung nach Belarus in </w:t>
      </w:r>
      <w:proofErr w:type="gramStart"/>
      <w:r w:rsidRPr="00627C56">
        <w:rPr>
          <w:sz w:val="24"/>
          <w:szCs w:val="28"/>
        </w:rPr>
        <w:t>Betracht ?</w:t>
      </w:r>
      <w:proofErr w:type="gramEnd"/>
    </w:p>
    <w:p w:rsidR="004209DF" w:rsidRPr="00627C56" w:rsidRDefault="004209D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Kleiner </w:t>
      </w:r>
      <w:proofErr w:type="gramStart"/>
      <w:r w:rsidRPr="00627C56">
        <w:rPr>
          <w:sz w:val="24"/>
          <w:szCs w:val="28"/>
        </w:rPr>
        <w:t>Scherz !</w:t>
      </w:r>
      <w:proofErr w:type="gramEnd"/>
    </w:p>
    <w:p w:rsidR="00252B36" w:rsidRDefault="00252B36" w:rsidP="0045700F">
      <w:pPr>
        <w:rPr>
          <w:sz w:val="24"/>
          <w:szCs w:val="28"/>
        </w:rPr>
      </w:pPr>
    </w:p>
    <w:p w:rsidR="004209DF" w:rsidRPr="00627C56" w:rsidRDefault="004209D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Auf jeden Fall beglückwünschen die „Mütter gegen den Krieg Berlin-Brandenburg“ die belorussische Bevölkerung zu ihrer Präsidentenwahl </w:t>
      </w:r>
      <w:proofErr w:type="gramStart"/>
      <w:r w:rsidRPr="00627C56">
        <w:rPr>
          <w:sz w:val="24"/>
          <w:szCs w:val="28"/>
        </w:rPr>
        <w:t>2020 !!</w:t>
      </w:r>
      <w:proofErr w:type="gramEnd"/>
    </w:p>
    <w:p w:rsidR="0045700F" w:rsidRPr="00627C56" w:rsidRDefault="0045700F" w:rsidP="0045700F">
      <w:pPr>
        <w:rPr>
          <w:sz w:val="24"/>
          <w:szCs w:val="28"/>
        </w:rPr>
      </w:pPr>
    </w:p>
    <w:p w:rsidR="0045700F" w:rsidRPr="00627C56" w:rsidRDefault="00A0056B" w:rsidP="0045700F">
      <w:pPr>
        <w:rPr>
          <w:sz w:val="24"/>
          <w:szCs w:val="28"/>
        </w:rPr>
      </w:pPr>
      <w:hyperlink r:id="rId7" w:history="1">
        <w:r w:rsidR="0045700F" w:rsidRPr="00627C56">
          <w:rPr>
            <w:rStyle w:val="Hyperlink"/>
            <w:sz w:val="24"/>
            <w:szCs w:val="28"/>
          </w:rPr>
          <w:t>www.muetter-gegen-den-krieg-berlin.de</w:t>
        </w:r>
      </w:hyperlink>
    </w:p>
    <w:p w:rsidR="0045700F" w:rsidRPr="00627C56" w:rsidRDefault="0045700F" w:rsidP="0045700F">
      <w:pPr>
        <w:rPr>
          <w:sz w:val="24"/>
          <w:szCs w:val="28"/>
        </w:rPr>
      </w:pPr>
    </w:p>
    <w:p w:rsidR="0045700F" w:rsidRPr="00627C56" w:rsidRDefault="0045700F" w:rsidP="0045700F">
      <w:pPr>
        <w:rPr>
          <w:sz w:val="24"/>
          <w:szCs w:val="28"/>
        </w:rPr>
      </w:pPr>
      <w:r w:rsidRPr="00627C56">
        <w:rPr>
          <w:sz w:val="24"/>
          <w:szCs w:val="28"/>
        </w:rPr>
        <w:t xml:space="preserve">  </w:t>
      </w:r>
    </w:p>
    <w:p w:rsidR="0045700F" w:rsidRPr="00627C56" w:rsidRDefault="0045700F" w:rsidP="0045700F">
      <w:pPr>
        <w:rPr>
          <w:sz w:val="24"/>
          <w:szCs w:val="28"/>
        </w:rPr>
      </w:pPr>
    </w:p>
    <w:p w:rsidR="00F0395E" w:rsidRPr="00627C56" w:rsidRDefault="00F0395E">
      <w:pPr>
        <w:rPr>
          <w:sz w:val="24"/>
        </w:rPr>
      </w:pPr>
    </w:p>
    <w:sectPr w:rsidR="00F0395E" w:rsidRPr="00627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F"/>
    <w:rsid w:val="0003533A"/>
    <w:rsid w:val="00067359"/>
    <w:rsid w:val="000A3D6D"/>
    <w:rsid w:val="00237F7C"/>
    <w:rsid w:val="00252B36"/>
    <w:rsid w:val="00314D5E"/>
    <w:rsid w:val="00400C1B"/>
    <w:rsid w:val="004209DF"/>
    <w:rsid w:val="0045700F"/>
    <w:rsid w:val="00475B1A"/>
    <w:rsid w:val="00484A26"/>
    <w:rsid w:val="005905A8"/>
    <w:rsid w:val="00624F81"/>
    <w:rsid w:val="00627C56"/>
    <w:rsid w:val="00644DFC"/>
    <w:rsid w:val="00655E2F"/>
    <w:rsid w:val="006A4772"/>
    <w:rsid w:val="006F1A52"/>
    <w:rsid w:val="007960DB"/>
    <w:rsid w:val="00823103"/>
    <w:rsid w:val="0082433E"/>
    <w:rsid w:val="008D6296"/>
    <w:rsid w:val="0090683A"/>
    <w:rsid w:val="009401CF"/>
    <w:rsid w:val="00A0056B"/>
    <w:rsid w:val="00B02B53"/>
    <w:rsid w:val="00B529F5"/>
    <w:rsid w:val="00C90A0B"/>
    <w:rsid w:val="00D40C24"/>
    <w:rsid w:val="00D45B1B"/>
    <w:rsid w:val="00DE4825"/>
    <w:rsid w:val="00E35CF8"/>
    <w:rsid w:val="00E72CF4"/>
    <w:rsid w:val="00F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BD68-1FEB-45BB-8563-2168AC0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F1A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2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F1A5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5700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A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1A5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067359"/>
    <w:pPr>
      <w:ind w:left="540"/>
    </w:pPr>
    <w:rPr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6735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2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52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529F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52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529F5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eneedyourhelp">
    <w:name w:val="we_need_your_help"/>
    <w:basedOn w:val="Absatz-Standardschriftart"/>
    <w:rsid w:val="00B529F5"/>
  </w:style>
  <w:style w:type="character" w:customStyle="1" w:styleId="bartextleft">
    <w:name w:val="bartextleft"/>
    <w:basedOn w:val="Absatz-Standardschriftart"/>
    <w:rsid w:val="00B529F5"/>
  </w:style>
  <w:style w:type="character" w:customStyle="1" w:styleId="barmid-nocss">
    <w:name w:val="barmid-nocss"/>
    <w:basedOn w:val="Absatz-Standardschriftart"/>
    <w:rsid w:val="00B529F5"/>
  </w:style>
  <w:style w:type="character" w:customStyle="1" w:styleId="bartextright">
    <w:name w:val="bartextright"/>
    <w:basedOn w:val="Absatz-Standardschriftart"/>
    <w:rsid w:val="00B529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1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etter-gegen-den-krieg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numbeo.com/lebenshaltungskosten/land/Wei%C3%9Frussland" TargetMode="External"/><Relationship Id="rId5" Type="http://schemas.openxmlformats.org/officeDocument/2006/relationships/hyperlink" Target="https://www.ceicdata.com/de/indicator/belarus/monthly-earnings" TargetMode="External"/><Relationship Id="rId4" Type="http://schemas.openxmlformats.org/officeDocument/2006/relationships/hyperlink" Target="https://www.laenderdaten.info/Europa/Belarus/wirtschaf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2020-08-11T16:24:00Z</cp:lastPrinted>
  <dcterms:created xsi:type="dcterms:W3CDTF">2020-08-12T13:07:00Z</dcterms:created>
  <dcterms:modified xsi:type="dcterms:W3CDTF">2020-08-12T13:07:00Z</dcterms:modified>
</cp:coreProperties>
</file>